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D49CF" w:rsidTr="00AD56D1">
        <w:trPr>
          <w:trHeight w:val="3685"/>
        </w:trPr>
        <w:tc>
          <w:tcPr>
            <w:tcW w:w="9571" w:type="dxa"/>
          </w:tcPr>
          <w:p w:rsidR="00394E5A" w:rsidRDefault="00394E5A" w:rsidP="00394E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ГУБЕРНАТОР ОРЛОВСКОЙ ОБЛАСТИ</w:t>
            </w:r>
          </w:p>
          <w:p w:rsidR="00394E5A" w:rsidRDefault="00394E5A" w:rsidP="00394E5A">
            <w:pPr>
              <w:jc w:val="center"/>
              <w:rPr>
                <w:b/>
                <w:szCs w:val="28"/>
              </w:rPr>
            </w:pPr>
          </w:p>
          <w:p w:rsidR="00394E5A" w:rsidRDefault="00394E5A" w:rsidP="00394E5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УКАЗ</w:t>
            </w:r>
          </w:p>
          <w:p w:rsidR="00394E5A" w:rsidRDefault="00394E5A" w:rsidP="00394E5A">
            <w:pPr>
              <w:rPr>
                <w:szCs w:val="28"/>
              </w:rPr>
            </w:pPr>
          </w:p>
          <w:p w:rsidR="00394E5A" w:rsidRDefault="00394E5A" w:rsidP="00394E5A">
            <w:pPr>
              <w:rPr>
                <w:szCs w:val="28"/>
              </w:rPr>
            </w:pPr>
          </w:p>
          <w:p w:rsidR="00394E5A" w:rsidRDefault="00394E5A" w:rsidP="00394E5A">
            <w:pPr>
              <w:rPr>
                <w:szCs w:val="28"/>
              </w:rPr>
            </w:pPr>
            <w:r>
              <w:rPr>
                <w:szCs w:val="28"/>
              </w:rPr>
              <w:t>10 февраля 2022 г. № 65</w:t>
            </w:r>
          </w:p>
          <w:p w:rsidR="001D49CF" w:rsidRDefault="00394E5A" w:rsidP="00394E5A">
            <w:r>
              <w:rPr>
                <w:szCs w:val="28"/>
              </w:rPr>
              <w:t>г. Орёл</w:t>
            </w:r>
          </w:p>
        </w:tc>
      </w:tr>
    </w:tbl>
    <w:p w:rsidR="008C20F8" w:rsidRDefault="008C20F8" w:rsidP="004155EF">
      <w:pPr>
        <w:shd w:val="clear" w:color="auto" w:fill="FFFFFF"/>
        <w:autoSpaceDE w:val="0"/>
        <w:autoSpaceDN w:val="0"/>
        <w:adjustRightInd w:val="0"/>
        <w:ind w:firstLine="709"/>
        <w:rPr>
          <w:spacing w:val="40"/>
          <w:szCs w:val="28"/>
        </w:rPr>
      </w:pPr>
    </w:p>
    <w:p w:rsidR="005B7106" w:rsidRDefault="005B7106" w:rsidP="005B710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отдельные </w:t>
      </w:r>
      <w:r>
        <w:rPr>
          <w:szCs w:val="28"/>
        </w:rPr>
        <w:br/>
        <w:t xml:space="preserve">нормативные правовые акты Губернатора </w:t>
      </w:r>
      <w:r>
        <w:rPr>
          <w:szCs w:val="28"/>
        </w:rPr>
        <w:br/>
        <w:t xml:space="preserve">Орловской области </w:t>
      </w: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1.  </w:t>
      </w:r>
      <w:r w:rsidRPr="005B7106">
        <w:rPr>
          <w:szCs w:val="28"/>
        </w:rPr>
        <w:t xml:space="preserve">Внести в приложение 1 к указу Губернатора Орловской области </w:t>
      </w:r>
      <w:r w:rsidRPr="005B7106">
        <w:rPr>
          <w:szCs w:val="28"/>
        </w:rPr>
        <w:br/>
        <w:t>от 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коронавирусной инфекции (COVID-19)» следующие изменения: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</w:t>
      </w:r>
      <w:r w:rsidRPr="005B7106">
        <w:rPr>
          <w:szCs w:val="28"/>
        </w:rPr>
        <w:t xml:space="preserve">в пункте 1 раздела </w:t>
      </w:r>
      <w:r w:rsidRPr="005B7106">
        <w:rPr>
          <w:szCs w:val="28"/>
          <w:lang w:val="en-US"/>
        </w:rPr>
        <w:t>I</w:t>
      </w:r>
      <w:r w:rsidRPr="005B7106">
        <w:rPr>
          <w:szCs w:val="28"/>
        </w:rPr>
        <w:t>: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  </w:t>
      </w:r>
      <w:r w:rsidRPr="005B7106">
        <w:rPr>
          <w:szCs w:val="28"/>
        </w:rPr>
        <w:t>подпункт «а</w:t>
      </w:r>
      <w:r w:rsidRPr="005B7106">
        <w:rPr>
          <w:szCs w:val="28"/>
          <w:vertAlign w:val="superscript"/>
        </w:rPr>
        <w:t>3</w:t>
      </w:r>
      <w:r w:rsidRPr="005B7106">
        <w:rPr>
          <w:szCs w:val="28"/>
        </w:rPr>
        <w:t>» изложить в следующей редакции: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pacing w:val="-4"/>
          <w:szCs w:val="28"/>
        </w:rPr>
      </w:pPr>
      <w:r w:rsidRPr="005B7106">
        <w:rPr>
          <w:spacing w:val="-4"/>
          <w:szCs w:val="28"/>
        </w:rPr>
        <w:t>«а</w:t>
      </w:r>
      <w:r w:rsidRPr="005B7106">
        <w:rPr>
          <w:spacing w:val="-4"/>
          <w:szCs w:val="28"/>
          <w:vertAlign w:val="superscript"/>
        </w:rPr>
        <w:t>3</w:t>
      </w:r>
      <w:r w:rsidRPr="005B7106">
        <w:rPr>
          <w:spacing w:val="-4"/>
          <w:szCs w:val="28"/>
        </w:rPr>
        <w:t>)  проведение массовых мероприятий с присутствием граждан, включая массовые мероприятия с количеством участников менее 500 человек.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Данное ограничение не распространяется: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на проведение физкультурных и спортивных мероприятий, в том числе выполнение нормативов испытаний (тестов) Всероссийского физкультурно-спортивного комплекса «Готов к труду и обороне» без участия зрителей,</w:t>
      </w:r>
      <w:r>
        <w:rPr>
          <w:szCs w:val="28"/>
        </w:rPr>
        <w:br/>
      </w:r>
      <w:r w:rsidRPr="005B7106">
        <w:rPr>
          <w:szCs w:val="28"/>
        </w:rPr>
        <w:t>с соблюдением мер санитарно-эпидемиологической безопасности;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проведение мероприятий в сфере культуры на свежем воздухе.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pacing w:val="-4"/>
          <w:szCs w:val="28"/>
        </w:rPr>
      </w:pPr>
      <w:r w:rsidRPr="005B7106">
        <w:rPr>
          <w:szCs w:val="28"/>
        </w:rPr>
        <w:t xml:space="preserve">Данное ограничение не распространяется на проведение следующих мероприятий при наличии у участников сертификата о вакцинации, содержащего сведения о получении гражданином второго компонента двухкомпонентной вакцины или однокомпонентной вакцины против новой коронавирусной инфекции (COVID-19), или QR-кода, полученного </w:t>
      </w:r>
      <w:r>
        <w:rPr>
          <w:szCs w:val="28"/>
        </w:rPr>
        <w:br/>
      </w:r>
      <w:r w:rsidRPr="005B7106">
        <w:rPr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или специализированных приложений «Госуслуги», «Госуслуги СТОП Коронавирус», подтверждающего вакцинацию гражданина (далее – </w:t>
      </w:r>
      <w:r w:rsidRPr="005B7106">
        <w:rPr>
          <w:spacing w:val="-4"/>
          <w:szCs w:val="28"/>
        </w:rPr>
        <w:t>сертификат или QR-код о вакцинации), либо справки или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или специализированных приложений «Госуслуги»,</w:t>
      </w:r>
      <w:r w:rsidRPr="005B7106">
        <w:rPr>
          <w:szCs w:val="28"/>
        </w:rPr>
        <w:t xml:space="preserve"> «Госуслуги СТОП Коронавирус», подтверждающих, что гражданин перенес новую коронавирусную инфекцию и с даты его выздоровления прошло не более </w:t>
      </w:r>
      <w:r>
        <w:rPr>
          <w:szCs w:val="28"/>
        </w:rPr>
        <w:br/>
      </w:r>
      <w:r w:rsidRPr="005B7106">
        <w:rPr>
          <w:szCs w:val="28"/>
        </w:rPr>
        <w:t xml:space="preserve">6 календарных месяцев (далее – справка или QR-код о перенесении новой коронавирусной инфекции), либо справки медицинской организации, подтверждающей наличие медицинских противопоказаний к вакцинации против новой коронавирусной инфекции (далее – справка о медицинских противопоказаниях), либо отрицательного результата тестирования методом ПЦР на COVID-19, проведенного в течение последних 48 часов, либо </w:t>
      </w:r>
      <w:r>
        <w:rPr>
          <w:szCs w:val="28"/>
        </w:rPr>
        <w:br/>
      </w:r>
      <w:r w:rsidRPr="005B7106">
        <w:rPr>
          <w:szCs w:val="28"/>
        </w:rPr>
        <w:t xml:space="preserve">QR-кода, полученного в порядке, установленном Департаментом </w:t>
      </w:r>
      <w:r w:rsidRPr="005B7106">
        <w:rPr>
          <w:spacing w:val="-4"/>
          <w:szCs w:val="28"/>
        </w:rPr>
        <w:t>здравоохранения Орловской области, подтверждающего наличие у гражданина достаточного титра антител к COVID-19 (далее – QR-код о наличии антител), предъявленного гражданином вместе с документом, удостоверяющим его личность, или его копией, в том числе в электронном виде (за исключением лиц, не достигших 18 лет):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мероприятий в сфере культуры с присутствием граждан, а также оказание соответствующих услуг с участием не более 50 % зрителей (участников) от вместимости объекта с соблюдением мер санитарно-эпидемиологической безопасности;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проведение органами государственной власти Орловской области, органами местного самоуправления мероприятий на территории муниципальных образований Орловской области с соблюдением мер санитарно-эпидемиологической безопасности.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Под достаточным титром антител к COVID-19 понимается значение количественного уровня антител к COVID-19, установленное Департаментом здравоохранения Орловской области.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 xml:space="preserve">Организаторы мероприятий, указанных в абзацах шестом, седьмом настоящего подпункта, обязаны обеспечить запрет допуска и нахождения </w:t>
      </w:r>
      <w:r w:rsidR="00E971BB">
        <w:rPr>
          <w:szCs w:val="28"/>
        </w:rPr>
        <w:br/>
      </w:r>
      <w:r w:rsidRPr="005B7106">
        <w:rPr>
          <w:szCs w:val="28"/>
        </w:rPr>
        <w:t xml:space="preserve">на них граждан без документов (сведений), указанных в </w:t>
      </w:r>
      <w:hyperlink r:id="rId6" w:history="1">
        <w:r w:rsidRPr="005B7106">
          <w:rPr>
            <w:rStyle w:val="aa"/>
            <w:color w:val="auto"/>
            <w:szCs w:val="28"/>
            <w:u w:val="none"/>
          </w:rPr>
          <w:t>абзаце пятом</w:t>
        </w:r>
      </w:hyperlink>
      <w:r w:rsidRPr="005B7106">
        <w:rPr>
          <w:szCs w:val="28"/>
        </w:rPr>
        <w:t xml:space="preserve"> настоящего подпункта. Лица, осуществляющие допуск граждан на указанные мероприятия, обязаны осуществить проверку соответствия данных </w:t>
      </w:r>
      <w:r w:rsidR="00E971BB">
        <w:rPr>
          <w:szCs w:val="28"/>
        </w:rPr>
        <w:br/>
      </w:r>
      <w:r w:rsidRPr="005B7106">
        <w:rPr>
          <w:szCs w:val="28"/>
        </w:rPr>
        <w:t xml:space="preserve">о гражданине, содержащихся в документах (сведениях), указанных в </w:t>
      </w:r>
      <w:hyperlink r:id="rId7" w:history="1">
        <w:r w:rsidRPr="005B7106">
          <w:rPr>
            <w:rStyle w:val="aa"/>
            <w:color w:val="auto"/>
            <w:szCs w:val="28"/>
            <w:u w:val="none"/>
          </w:rPr>
          <w:t>абзаце пятом</w:t>
        </w:r>
      </w:hyperlink>
      <w:r w:rsidRPr="005B7106">
        <w:rPr>
          <w:szCs w:val="28"/>
        </w:rPr>
        <w:t xml:space="preserve"> настоящего подпункта, сведениям о гражданине, содержащимся </w:t>
      </w:r>
      <w:r w:rsidR="00E971BB">
        <w:rPr>
          <w:szCs w:val="28"/>
        </w:rPr>
        <w:br/>
      </w:r>
      <w:r w:rsidRPr="005B7106">
        <w:rPr>
          <w:szCs w:val="28"/>
        </w:rPr>
        <w:t>в документе, удостоверяющем личность (в его копии).»;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  </w:t>
      </w:r>
      <w:r w:rsidRPr="005B7106">
        <w:rPr>
          <w:szCs w:val="28"/>
        </w:rPr>
        <w:t>абзац второй подпункта «л» признать утратившим силу;</w:t>
      </w:r>
    </w:p>
    <w:p w:rsidR="005B7106" w:rsidRP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B7106">
        <w:rPr>
          <w:szCs w:val="28"/>
        </w:rPr>
        <w:t>2)</w:t>
      </w:r>
      <w:r>
        <w:rPr>
          <w:szCs w:val="28"/>
        </w:rPr>
        <w:t>  </w:t>
      </w:r>
      <w:r w:rsidRPr="005B7106">
        <w:rPr>
          <w:szCs w:val="28"/>
        </w:rPr>
        <w:t xml:space="preserve">строку 1.21 раздела </w:t>
      </w:r>
      <w:r w:rsidRPr="005B7106">
        <w:rPr>
          <w:szCs w:val="28"/>
          <w:lang w:val="en-US"/>
        </w:rPr>
        <w:t>II</w:t>
      </w:r>
      <w:r w:rsidRPr="005B7106">
        <w:rPr>
          <w:szCs w:val="28"/>
        </w:rPr>
        <w:t xml:space="preserve"> изложить в следующей редакции:</w:t>
      </w: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Style w:val="1"/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3987"/>
        <w:gridCol w:w="2378"/>
        <w:gridCol w:w="2077"/>
      </w:tblGrid>
      <w:tr w:rsidR="005B7106" w:rsidTr="0062082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06" w:rsidRDefault="005B710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1.21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06" w:rsidRDefault="005B7106" w:rsidP="005B71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Переход на предоставление услуг по дополнительному образованию, включая школы дополнительного образования, секции, кружки и иные занятия с очным присутствием детей, 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с очного формата обучения 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на формат обучения 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с использованием дистанционных технологий 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и электронного обучения </w:t>
            </w:r>
            <w:r>
              <w:rPr>
                <w:rFonts w:ascii="Times New Roman" w:hAnsi="Times New Roman" w:cs="Times New Roman"/>
                <w:szCs w:val="28"/>
              </w:rPr>
              <w:br/>
              <w:t xml:space="preserve">в случае увеличения количества заболевших обучающихся свыше 20 %, за исключением проведения тренировочных мероприятий членов спортивных сборных команд Российской Федерации </w:t>
            </w:r>
            <w:r>
              <w:rPr>
                <w:rFonts w:ascii="Times New Roman" w:hAnsi="Times New Roman" w:cs="Times New Roman"/>
                <w:szCs w:val="28"/>
              </w:rPr>
              <w:br/>
              <w:t>и Орловской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06" w:rsidRDefault="005B7106" w:rsidP="005B7106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Руководители организаций всех организационно-правовых форм собственности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06" w:rsidRDefault="005B7106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  <w:p w:rsidR="005B7106" w:rsidRDefault="005B710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  Внести в пункт 2 указа Губернатора Орловской области </w:t>
      </w:r>
      <w:r>
        <w:rPr>
          <w:szCs w:val="28"/>
        </w:rPr>
        <w:br/>
        <w:t>от 4 февраля 2022 года № 52 «О внесении изменений в указ Губернатора Орловской области от 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коронавирусной инфекции (COVID-19)» изменение, заменив слова «по 10 февраля 2022 года включительно» словами «по 17 февраля 2022 года включительно».</w:t>
      </w: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7106" w:rsidRDefault="005B7106" w:rsidP="005B710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51023" w:rsidRDefault="00451023" w:rsidP="00333ACD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6729"/>
      </w:tblGrid>
      <w:tr w:rsidR="0070639C" w:rsidTr="004F5D90">
        <w:tc>
          <w:tcPr>
            <w:tcW w:w="2660" w:type="dxa"/>
            <w:hideMark/>
          </w:tcPr>
          <w:p w:rsidR="004F5D90" w:rsidRDefault="0070639C" w:rsidP="004F5D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Губернатор</w:t>
            </w:r>
          </w:p>
          <w:p w:rsidR="0070639C" w:rsidRDefault="0070639C" w:rsidP="004F5D9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70639C" w:rsidRDefault="009D4430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377642" w:rsidRPr="00333ACD" w:rsidRDefault="00377642" w:rsidP="0070639C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377642" w:rsidRPr="00333ACD" w:rsidSect="003A2100">
      <w:headerReference w:type="default" r:id="rId8"/>
      <w:pgSz w:w="11906" w:h="16838"/>
      <w:pgMar w:top="1134" w:right="907" w:bottom="1134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AF3" w:rsidRDefault="00B86AF3" w:rsidP="003A2100">
      <w:r>
        <w:separator/>
      </w:r>
    </w:p>
  </w:endnote>
  <w:endnote w:type="continuationSeparator" w:id="0">
    <w:p w:rsidR="00B86AF3" w:rsidRDefault="00B86AF3" w:rsidP="003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AF3" w:rsidRDefault="00B86AF3" w:rsidP="003A2100">
      <w:r>
        <w:separator/>
      </w:r>
    </w:p>
  </w:footnote>
  <w:footnote w:type="continuationSeparator" w:id="0">
    <w:p w:rsidR="00B86AF3" w:rsidRDefault="00B86AF3" w:rsidP="003A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6363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A2100" w:rsidRPr="003A2100" w:rsidRDefault="003A2100">
        <w:pPr>
          <w:pStyle w:val="a6"/>
          <w:jc w:val="center"/>
          <w:rPr>
            <w:sz w:val="22"/>
          </w:rPr>
        </w:pPr>
        <w:r w:rsidRPr="003A2100">
          <w:rPr>
            <w:sz w:val="22"/>
          </w:rPr>
          <w:fldChar w:fldCharType="begin"/>
        </w:r>
        <w:r w:rsidRPr="003A2100">
          <w:rPr>
            <w:sz w:val="22"/>
          </w:rPr>
          <w:instrText>PAGE   \* MERGEFORMAT</w:instrText>
        </w:r>
        <w:r w:rsidRPr="003A2100">
          <w:rPr>
            <w:sz w:val="22"/>
          </w:rPr>
          <w:fldChar w:fldCharType="separate"/>
        </w:r>
        <w:r w:rsidR="008A646D">
          <w:rPr>
            <w:noProof/>
            <w:sz w:val="22"/>
          </w:rPr>
          <w:t>3</w:t>
        </w:r>
        <w:r w:rsidRPr="003A2100">
          <w:rPr>
            <w:sz w:val="22"/>
          </w:rPr>
          <w:fldChar w:fldCharType="end"/>
        </w:r>
      </w:p>
    </w:sdtContent>
  </w:sdt>
  <w:p w:rsidR="003A2100" w:rsidRPr="003A2100" w:rsidRDefault="003A2100">
    <w:pPr>
      <w:pStyle w:val="a6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06"/>
    <w:rsid w:val="000756BE"/>
    <w:rsid w:val="000B4B2A"/>
    <w:rsid w:val="00123BEB"/>
    <w:rsid w:val="00132CCE"/>
    <w:rsid w:val="00167276"/>
    <w:rsid w:val="001D49CF"/>
    <w:rsid w:val="002A0984"/>
    <w:rsid w:val="002D2B40"/>
    <w:rsid w:val="003034BB"/>
    <w:rsid w:val="00333ACD"/>
    <w:rsid w:val="00335BF6"/>
    <w:rsid w:val="00377642"/>
    <w:rsid w:val="00394E5A"/>
    <w:rsid w:val="003A2100"/>
    <w:rsid w:val="003D4A5A"/>
    <w:rsid w:val="004155EF"/>
    <w:rsid w:val="00421282"/>
    <w:rsid w:val="00451023"/>
    <w:rsid w:val="00490A0C"/>
    <w:rsid w:val="004F1647"/>
    <w:rsid w:val="004F5D90"/>
    <w:rsid w:val="00506929"/>
    <w:rsid w:val="00524BBE"/>
    <w:rsid w:val="00564981"/>
    <w:rsid w:val="005B7106"/>
    <w:rsid w:val="005C2216"/>
    <w:rsid w:val="005E442E"/>
    <w:rsid w:val="00620826"/>
    <w:rsid w:val="00667758"/>
    <w:rsid w:val="006703C7"/>
    <w:rsid w:val="006E5AA1"/>
    <w:rsid w:val="0070639C"/>
    <w:rsid w:val="00710E26"/>
    <w:rsid w:val="00787DB3"/>
    <w:rsid w:val="00845098"/>
    <w:rsid w:val="00852A4B"/>
    <w:rsid w:val="008A646D"/>
    <w:rsid w:val="008C20F8"/>
    <w:rsid w:val="008F09DA"/>
    <w:rsid w:val="009A6B35"/>
    <w:rsid w:val="009D4430"/>
    <w:rsid w:val="00A87069"/>
    <w:rsid w:val="00AB63C5"/>
    <w:rsid w:val="00AD56D1"/>
    <w:rsid w:val="00B129D3"/>
    <w:rsid w:val="00B768D3"/>
    <w:rsid w:val="00B86AF3"/>
    <w:rsid w:val="00C0031D"/>
    <w:rsid w:val="00C312BB"/>
    <w:rsid w:val="00C44C17"/>
    <w:rsid w:val="00C84BAC"/>
    <w:rsid w:val="00CB2DBF"/>
    <w:rsid w:val="00CC74CD"/>
    <w:rsid w:val="00D3501A"/>
    <w:rsid w:val="00D51E83"/>
    <w:rsid w:val="00D81B24"/>
    <w:rsid w:val="00E15053"/>
    <w:rsid w:val="00E971BB"/>
    <w:rsid w:val="00F32060"/>
    <w:rsid w:val="00FB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CA53A7-C0BF-4656-B54A-D9F01F87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4BB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B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3A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00"/>
    <w:rPr>
      <w:sz w:val="28"/>
      <w:szCs w:val="24"/>
    </w:rPr>
  </w:style>
  <w:style w:type="paragraph" w:styleId="a8">
    <w:name w:val="footer"/>
    <w:basedOn w:val="a"/>
    <w:link w:val="a9"/>
    <w:rsid w:val="003A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100"/>
    <w:rPr>
      <w:sz w:val="28"/>
      <w:szCs w:val="24"/>
    </w:rPr>
  </w:style>
  <w:style w:type="table" w:customStyle="1" w:styleId="1">
    <w:name w:val="Сетка таблицы1"/>
    <w:basedOn w:val="a1"/>
    <w:uiPriority w:val="59"/>
    <w:rsid w:val="005B71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B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8F4E032D62F775A20DAC17B06C308066A954B410241133A547C160D490BB3CC7E19F9A4A07A373CE6AF6C3634E8E33F77A7A535697A22280777F23VDU9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8F4E032D62F775A20DAC17B06C308066A954B410241133A547C160D490BB3CC7E19F9A4A07A373CE6AF6C3634E8E33F77A7A535697A22280777F23VDU9L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3;&#1091;&#1073;&#1077;&#1088;&#1085;&#1072;&#1090;&#1086;&#1088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Губернатор.dotx</Template>
  <TotalTime>0</TotalTime>
  <Pages>1</Pages>
  <Words>613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</vt:lpstr>
    </vt:vector>
  </TitlesOfParts>
  <Company>Home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</dc:title>
  <dc:creator>user</dc:creator>
  <cp:lastModifiedBy>2644581@gmail.com</cp:lastModifiedBy>
  <cp:revision>2</cp:revision>
  <cp:lastPrinted>2022-02-10T14:21:00Z</cp:lastPrinted>
  <dcterms:created xsi:type="dcterms:W3CDTF">2022-02-11T07:44:00Z</dcterms:created>
  <dcterms:modified xsi:type="dcterms:W3CDTF">2022-02-11T07:44:00Z</dcterms:modified>
</cp:coreProperties>
</file>